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20318">
      <w:pPr>
        <w:pStyle w:val="2"/>
      </w:pPr>
      <w:bookmarkStart w:id="0" w:name="_Toc99378832"/>
      <w:bookmarkStart w:id="1" w:name="_Toc92793456"/>
      <w:r>
        <w:t>TỘI PHẠM XÂM PHẠM AN NINH QUỐC GIA</w:t>
      </w:r>
      <w:bookmarkEnd w:id="0"/>
      <w:bookmarkEnd w:id="1"/>
    </w:p>
    <w:p w14:paraId="55368DCB">
      <w:pPr>
        <w:spacing w:before="120" w:after="120" w:line="400" w:lineRule="exact"/>
        <w:ind w:firstLine="720"/>
        <w:jc w:val="both"/>
        <w:rPr>
          <w:rFonts w:eastAsia="Times New Roman" w:cs="Times New Roman"/>
          <w:bCs/>
          <w:iCs/>
          <w:color w:val="FF0000"/>
          <w:szCs w:val="28"/>
        </w:rPr>
      </w:pPr>
      <w:r>
        <w:rPr>
          <w:rFonts w:eastAsia="Times New Roman" w:cs="Times New Roman"/>
          <w:bCs/>
          <w:iCs/>
          <w:color w:val="000000"/>
          <w:szCs w:val="28"/>
        </w:rPr>
        <w:t xml:space="preserve">là những hành vi xâm phạm độc lập, chủ quyền, thống nhất, toàn vẹn lãnh thổ của Tổ quốc, </w:t>
      </w:r>
      <w:r>
        <w:rPr>
          <w:rFonts w:eastAsia="Times New Roman" w:cs="Times New Roman"/>
          <w:bCs/>
          <w:iCs/>
          <w:color w:val="FF0000"/>
          <w:szCs w:val="28"/>
        </w:rPr>
        <w:t xml:space="preserve">xâm phạm </w:t>
      </w:r>
      <w:r>
        <w:rPr>
          <w:rFonts w:eastAsia="Times New Roman" w:cs="Times New Roman"/>
          <w:bCs/>
          <w:iCs/>
          <w:color w:val="000000"/>
          <w:szCs w:val="28"/>
        </w:rPr>
        <w:t>chế độ xã hội chủ nghĩa và Nhà nước Cộng hòa xã hội chủ nghĩa Việt Nam (</w:t>
      </w:r>
      <w:r>
        <w:rPr>
          <w:rFonts w:eastAsia="Times New Roman" w:cs="Times New Roman"/>
          <w:bCs/>
          <w:i/>
          <w:iCs/>
          <w:color w:val="000000"/>
          <w:szCs w:val="28"/>
        </w:rPr>
        <w:t>Xt. Tội phạm</w:t>
      </w:r>
      <w:r>
        <w:rPr>
          <w:rFonts w:eastAsia="Times New Roman" w:cs="Times New Roman"/>
          <w:bCs/>
          <w:iCs/>
          <w:color w:val="000000"/>
          <w:szCs w:val="28"/>
        </w:rPr>
        <w:t xml:space="preserve">). </w:t>
      </w:r>
      <w:r>
        <w:rPr>
          <w:rFonts w:eastAsia="Times New Roman" w:cs="Times New Roman"/>
          <w:bCs/>
          <w:iCs/>
          <w:color w:val="FF0000"/>
          <w:szCs w:val="28"/>
        </w:rPr>
        <w:t>Đây là nhóm tội nguy hiểm nhất bao gồm nhiều tội phạm khác nhau. Tất cả tội này có đặc điểm chung là chủ thể đều có mục đích chống lại nhà nước CHXH CNVN.</w:t>
      </w:r>
    </w:p>
    <w:p w14:paraId="28EA90DF">
      <w:pPr>
        <w:spacing w:before="120" w:after="120" w:line="400" w:lineRule="exact"/>
        <w:ind w:firstLine="720"/>
        <w:jc w:val="both"/>
        <w:rPr>
          <w:rFonts w:eastAsia="Times New Roman" w:cs="Times New Roman"/>
          <w:bCs/>
          <w:iCs/>
          <w:color w:val="000000"/>
          <w:szCs w:val="28"/>
        </w:rPr>
      </w:pPr>
      <w:r>
        <w:rPr>
          <w:rFonts w:eastAsia="Times New Roman" w:cs="Times New Roman"/>
          <w:bCs/>
          <w:iCs/>
          <w:color w:val="000000"/>
          <w:szCs w:val="28"/>
        </w:rPr>
        <w:t>Đặc điểm của tội phạm xâm phạm an ninh quốc gia: 1. Tội phạm xâm phạm an ninh quốc gia là những hành vi nguy hiểm cho xã hội được quy định tại Chương XIII (từ Điều 108-121), Phần các tội phạm của Bộ luật Hình sự năm 2015, sửa đổi, bổ sung năm 2017. Hầu hết các tội phạm xâm phạm an ninh quốc gia được thực hiện bằng hành động, chỉ duy nhất tội phạm phá hoại việc thực hiện các chính sách kinh tế-xã hội được quy định tại Điều 115 Bộ luật Hình sự năm 2015, sửa đổi, bổ sung năm 2017 có thể được thực hiện bằng không hành động. Tội phạm xâm phạm an ninh quốc gia đã xâm phạm đến những quan hệ xã hội có vai trò quan trọng hàng đầu, bảo đảm sự tồn tại và phát triển của các quan hệ xã hội khác nên đây là loại tội phạm nguy hiểm nhất trong các loại tội phạm và đều cấu thành hình thức. Tội phạm hoàn thành khi người phạm tội thực hiện hành vi thuộc mặt khách quan của cấu thành tội phạm. Hậu quả do hành vi phạm tội gây ra là dấu hiệu định khung hình phạt, không phải là dấu hiệu định tội. 2. Do người có năng lực trách nhiệm hình sự thực hiện. Người có năng lực trách nhiệm hình sự thực hiện là công dân Việt Nam, người nước ngoài, người không có quốc tịch có khả năng nhận thức, khả năng điều chỉnh hành vi của mình và từ đủ 16 tuổi trở lên. 3. Có lỗi. Người thực hiện hành vi xâm phạm an ninh quốc gia đều được thực hiện với lỗi cố ý trực tiếp. Người phạm tội nhận thức rõ hành vi của mình là xâm hại đến sự tồn tại, ổn định, phát triển của chế độ xã hội chủ nghĩa và Nhà nước Cộng hòa xã hội chủ nghĩa Việt Nam, sự bất khả xâm phạm độc lập, chủ quyền, thống nhất, toàn vẹn lãnh thổ của Tổ quốc, thấy trước hậu quả của hành vi và mong muốn hậu quả xảy ra. Mục đích chống chính quyền nhân dân là dấu hiệu bắt buộc của cấu thành tội phạm, khi thực hiện hành vi phạm tội xâm phạm an ninh quốc gia, người phạm tội hướng tới mục tiêu làm suy yếu chính quyền, lật đổ chính quyền, thay đổi chế độ chính trị, kinh tế-xã hội. Động cơ phạm tội không phải là dấu hiệu bắt buộc của cấu thành tội phạm của các tội xâm phạm an ninh quốc gia. Mặc dù với mục đích chống chính quyền nhân dân nhưng động cơ phạm tội có thể khác nhau như hận thù giai cấp, hận thù chế độ, cơ hội chính trị… 4. Tội phạm xâm phạm an ninh quốc gia xâm phạm đến chế độ chính trị, chế độ kinh tế, nền văn hóa, an ninh, quốc phòng, đối ngoại và sự ổn định, phát triển của Nhà nước Cộng hòa xã hội chủ nghĩa Việt Nam, sự bất khả xâm phạm độc lập, chủ quyền, thống nhất, toàn vẹn lãnh thổ của Tổ quốc. 5. Phải bị xử lý hình sự. Là tội phạm có tính chất nguy hiểm cho xã hội cao nhất nên chính sách hình sự đối với tội phạm xâm phạm an ninh quốc gia là rất nghiêm khắc được thể hiện trong hình phạt đối với người phạm tội bị kết tội bằng bản án có hiệu lực pháp luật của Tòa án, với 14 tội phạm thuộc Chương XIII Phần các tội phạm của Bộ luật Hình sự năm 2015, sửa đổi, bổ sung năm 2017 có 09 tội phạm có khung hình phạt cao nhất là tù chung thân hoặc tử hình, chiếm tỷ lệ cao nhất trong nhóm các tội phạm khác.</w:t>
      </w:r>
    </w:p>
    <w:p w14:paraId="49C4729C">
      <w:pPr>
        <w:spacing w:before="120" w:after="120" w:line="400" w:lineRule="exact"/>
        <w:ind w:firstLine="720"/>
        <w:jc w:val="both"/>
        <w:rPr>
          <w:rFonts w:eastAsia="Times New Roman" w:cs="Times New Roman"/>
          <w:bCs/>
          <w:iCs/>
          <w:color w:val="000000"/>
          <w:szCs w:val="28"/>
        </w:rPr>
      </w:pPr>
      <w:r>
        <w:rPr>
          <w:rFonts w:eastAsia="Times New Roman" w:cs="Times New Roman"/>
          <w:bCs/>
          <w:iCs/>
          <w:color w:val="000000"/>
          <w:szCs w:val="28"/>
        </w:rPr>
        <w:t>Để xác định hành vi của một người cụ thể có là tội phạm xâm phạm an ninh quốc gia hay không phải được chứng minh theo trình tự, thủ tục do Bộ luật Tố tụng hình sự quy định và có bản án kết tội của Tòa án đã có hiệu lực pháp luật. Trách nhiệm chứng minh tội phạm thuộc về cơ quan tiến hành tố tụng, trong đó: cơ quan điều tra, cụ thể là Cơ quan An ninh điều tra có trách nhiệm tiếp nhận, giải quyết nguồn tin về tội phạm xâm phạm an ninh quốc gia, khởi tố vụ án, khởi tố bị can và tiến hành các biện pháp điều tra theo quy định của Bộ luật Tố tụng hình sự để kết luận bản chất của vụ án, hành vi của chủ thể có phạm tội hay không và phạm tội theo điều, khoản cụ thể nào, cùng những vấn đề phải chứng minh trong vụ án xâm phạm an ninh quốc gia; Viện kiểm sát có trách nhiệm truy tố bị can trước Tòa án; Tòa án có trách nhiệm xét xử vụ án xâm phạm an ninh quốc gia và kết thúc bằng bản án kết tội có hiệu lực pháp luật của Tòa án.</w:t>
      </w:r>
    </w:p>
    <w:p w14:paraId="106D9BF9">
      <w:pPr>
        <w:spacing w:before="120" w:after="120" w:line="400" w:lineRule="exact"/>
        <w:ind w:firstLine="720"/>
        <w:jc w:val="both"/>
        <w:rPr>
          <w:rFonts w:eastAsia="Times New Roman" w:cs="Times New Roman"/>
          <w:bCs/>
          <w:iCs/>
          <w:color w:val="000000"/>
          <w:szCs w:val="28"/>
        </w:rPr>
      </w:pPr>
      <w:r>
        <w:rPr>
          <w:rFonts w:eastAsia="Times New Roman" w:cs="Times New Roman"/>
          <w:bCs/>
          <w:iCs/>
          <w:color w:val="000000"/>
          <w:szCs w:val="28"/>
        </w:rPr>
        <w:t>Căn cứ vào khách thể cụ thể bị tội phạm xâm hại hoặc quy định của các tội trong Chương XIII Phần các tội phạm của Bộ luật Hình sự năm 2015, sửa đổi, bổ sung năm 2017 để phân loại tội phạm xâm phạm an ninh quốc gia thành: tội phạm phản bội Tổ quốc, tội phạm hoạt động nhằm lật đổ chính quyền nhân dân, tội phạm xâm phạm an ninh lãnh thổ… Tội phạm phản bội Tổ quốc là hành vi của công dân Việt Nam có đủ năng lực trách nhiệm hình sự, câu kết với nước ngoài nhằm gây nguy hại cho độc lập, chủ quyền, thống nhất và toàn vẹn lãnh thổ của Tổ quốc, chế độ xã hội chủ nghĩa và Nhà nước Cộng hòa xã hội chủ nghĩa Việt Nam, tiềm lực quốc phòng, an ninh, bị Tòa án kết tội bằng bản án có hiệu lực pháp luật; tội phạm hoạt động nhằm lật đổ chính quyền nhân dân là hành vi của người có đủ năng lực trách nhiệm hình sự thành lập hoặc tham gia tổ chức nhằm lật đổ chính quyền nhân dân, bị Tòa án kết tội bằng bản án có hiệu lực pháp luật; tội phạm xâm phạm an ninh lãnh thổ là hành vi của người có đủ năng lực trách nhiệm hình sự xâm nhập lãnh thổ, làm sai lệch đường biên giới quốc gia hoặc có hành động khác nhằm gây phương hại cho an ninh lãnh thổ của nước Cộng hòa xã hội chủ nghĩa Việt Nam, bị Tòa án kết tội bằng bản án có hiệu lực pháp luật.</w:t>
      </w:r>
    </w:p>
    <w:p w14:paraId="58055601">
      <w:pPr>
        <w:spacing w:before="120" w:after="120" w:line="400" w:lineRule="exact"/>
        <w:ind w:firstLine="720"/>
        <w:jc w:val="right"/>
        <w:rPr>
          <w:rFonts w:eastAsia="Arial" w:cs="Times New Roman"/>
          <w:b/>
          <w:sz w:val="24"/>
          <w:szCs w:val="24"/>
        </w:rPr>
      </w:pPr>
      <w:r>
        <w:rPr>
          <w:rFonts w:eastAsia="Arial" w:cs="Times New Roman"/>
          <w:b/>
          <w:sz w:val="24"/>
          <w:szCs w:val="24"/>
        </w:rPr>
        <w:t>NGUYỄN HỒNG SƠN</w:t>
      </w:r>
    </w:p>
    <w:p w14:paraId="5FC14731">
      <w:pPr>
        <w:pStyle w:val="3"/>
      </w:pPr>
      <w:bookmarkStart w:id="2" w:name="_Toc92793457"/>
      <w:r>
        <w:t>Tài liệu tham khảo</w:t>
      </w:r>
      <w:bookmarkEnd w:id="2"/>
    </w:p>
    <w:p w14:paraId="14D5130C">
      <w:pPr>
        <w:numPr>
          <w:ilvl w:val="0"/>
          <w:numId w:val="1"/>
        </w:numPr>
        <w:tabs>
          <w:tab w:val="left" w:pos="1260"/>
        </w:tabs>
        <w:spacing w:before="60" w:after="60" w:line="400" w:lineRule="exact"/>
        <w:ind w:left="0" w:firstLine="902"/>
        <w:jc w:val="both"/>
        <w:rPr>
          <w:rFonts w:eastAsia="Times New Roman" w:cs="Times New Roman"/>
          <w:i/>
          <w:iCs/>
          <w:spacing w:val="-6"/>
          <w:sz w:val="24"/>
          <w:szCs w:val="24"/>
        </w:rPr>
      </w:pPr>
      <w:r>
        <w:rPr>
          <w:rFonts w:eastAsia="Times New Roman" w:cs="Times New Roman"/>
          <w:bCs/>
          <w:iCs/>
          <w:sz w:val="24"/>
          <w:szCs w:val="24"/>
        </w:rPr>
        <w:t xml:space="preserve">Quốc hội, </w:t>
      </w:r>
      <w:r>
        <w:rPr>
          <w:rFonts w:eastAsia="Times New Roman" w:cs="Times New Roman"/>
          <w:bCs/>
          <w:i/>
          <w:iCs/>
          <w:sz w:val="24"/>
          <w:szCs w:val="24"/>
        </w:rPr>
        <w:t>Hiến pháp năm 2013.</w:t>
      </w:r>
    </w:p>
    <w:p w14:paraId="4D486A95">
      <w:pPr>
        <w:numPr>
          <w:ilvl w:val="0"/>
          <w:numId w:val="1"/>
        </w:numPr>
        <w:tabs>
          <w:tab w:val="left" w:pos="1260"/>
        </w:tabs>
        <w:spacing w:before="60" w:after="60" w:line="400" w:lineRule="exact"/>
        <w:ind w:left="0" w:firstLine="902"/>
        <w:jc w:val="both"/>
        <w:rPr>
          <w:rFonts w:eastAsia="Times New Roman" w:cs="Times New Roman"/>
          <w:bCs/>
          <w:i/>
          <w:iCs/>
          <w:color w:val="000000"/>
          <w:sz w:val="24"/>
          <w:szCs w:val="24"/>
        </w:rPr>
      </w:pPr>
      <w:r>
        <w:rPr>
          <w:rFonts w:eastAsia="Times New Roman" w:cs="Times New Roman"/>
          <w:bCs/>
          <w:iCs/>
          <w:sz w:val="24"/>
          <w:szCs w:val="24"/>
        </w:rPr>
        <w:t xml:space="preserve">Quốc hội, </w:t>
      </w:r>
      <w:r>
        <w:rPr>
          <w:rFonts w:eastAsia="Times New Roman" w:cs="Times New Roman"/>
          <w:i/>
          <w:iCs/>
          <w:spacing w:val="-6"/>
          <w:sz w:val="24"/>
          <w:szCs w:val="24"/>
        </w:rPr>
        <w:t>Bộ luật Hình sự năm 2015 (sửa đổi, bổ sung năm 2017).</w:t>
      </w:r>
    </w:p>
    <w:p w14:paraId="6E2DAAF2">
      <w:pPr>
        <w:numPr>
          <w:ilvl w:val="0"/>
          <w:numId w:val="1"/>
        </w:numPr>
        <w:tabs>
          <w:tab w:val="left" w:pos="1260"/>
        </w:tabs>
        <w:spacing w:before="60" w:after="60" w:line="400" w:lineRule="exact"/>
        <w:ind w:left="0" w:firstLine="902"/>
        <w:jc w:val="both"/>
        <w:rPr>
          <w:rFonts w:eastAsia="Times New Roman" w:cs="Times New Roman"/>
          <w:i/>
          <w:iCs/>
          <w:color w:val="000000"/>
          <w:sz w:val="24"/>
          <w:szCs w:val="24"/>
        </w:rPr>
      </w:pPr>
      <w:r>
        <w:rPr>
          <w:rFonts w:eastAsia="Times New Roman" w:cs="Times New Roman"/>
          <w:bCs/>
          <w:iCs/>
          <w:sz w:val="24"/>
          <w:szCs w:val="24"/>
        </w:rPr>
        <w:t xml:space="preserve">Quốc hội, </w:t>
      </w:r>
      <w:r>
        <w:rPr>
          <w:rFonts w:eastAsia="Times New Roman" w:cs="Times New Roman"/>
          <w:i/>
          <w:iCs/>
          <w:color w:val="000000"/>
          <w:sz w:val="24"/>
          <w:szCs w:val="24"/>
        </w:rPr>
        <w:t>Bộ luật Tố tụng hình sự năm 2015.</w:t>
      </w:r>
    </w:p>
    <w:p w14:paraId="6903F76E">
      <w:pPr>
        <w:numPr>
          <w:ilvl w:val="0"/>
          <w:numId w:val="1"/>
        </w:numPr>
        <w:tabs>
          <w:tab w:val="left" w:pos="1260"/>
        </w:tabs>
        <w:spacing w:before="60" w:after="60" w:line="400" w:lineRule="exact"/>
        <w:ind w:left="0" w:firstLine="902"/>
        <w:jc w:val="both"/>
        <w:rPr>
          <w:rFonts w:eastAsia="Times New Roman" w:cs="Times New Roman"/>
          <w:i/>
          <w:iCs/>
          <w:color w:val="000000"/>
          <w:sz w:val="24"/>
          <w:szCs w:val="24"/>
        </w:rPr>
      </w:pPr>
      <w:r>
        <w:rPr>
          <w:rFonts w:eastAsia="Times New Roman" w:cs="Times New Roman"/>
          <w:bCs/>
          <w:iCs/>
          <w:sz w:val="24"/>
          <w:szCs w:val="24"/>
        </w:rPr>
        <w:t xml:space="preserve">Quốc hội, </w:t>
      </w:r>
      <w:r>
        <w:rPr>
          <w:rFonts w:eastAsia="Arial" w:cs="Times New Roman"/>
          <w:i/>
          <w:color w:val="000000"/>
          <w:sz w:val="24"/>
          <w:szCs w:val="24"/>
        </w:rPr>
        <w:t>Luật An ninh quốc gia năm 2004</w:t>
      </w:r>
      <w:r>
        <w:rPr>
          <w:rFonts w:eastAsia="Times New Roman" w:cs="Times New Roman"/>
          <w:i/>
          <w:iCs/>
          <w:color w:val="000000"/>
          <w:sz w:val="24"/>
          <w:szCs w:val="24"/>
        </w:rPr>
        <w:t>.</w:t>
      </w:r>
    </w:p>
    <w:p w14:paraId="583817FE">
      <w:pPr>
        <w:numPr>
          <w:ilvl w:val="0"/>
          <w:numId w:val="1"/>
        </w:numPr>
        <w:tabs>
          <w:tab w:val="left" w:pos="1260"/>
        </w:tabs>
        <w:spacing w:before="60" w:after="60" w:line="400" w:lineRule="exact"/>
        <w:ind w:left="0" w:firstLine="902"/>
        <w:jc w:val="both"/>
        <w:rPr>
          <w:rFonts w:eastAsia="Times New Roman" w:cs="Times New Roman"/>
          <w:i/>
          <w:iCs/>
          <w:color w:val="000000"/>
          <w:sz w:val="24"/>
          <w:szCs w:val="24"/>
        </w:rPr>
      </w:pPr>
      <w:r>
        <w:rPr>
          <w:rFonts w:eastAsia="Times New Roman" w:cs="Times New Roman"/>
          <w:bCs/>
          <w:iCs/>
          <w:sz w:val="24"/>
          <w:szCs w:val="24"/>
        </w:rPr>
        <w:t xml:space="preserve">Quốc hội, </w:t>
      </w:r>
      <w:r>
        <w:rPr>
          <w:rFonts w:eastAsia="Arial" w:cs="Times New Roman"/>
          <w:i/>
          <w:color w:val="000000"/>
          <w:sz w:val="24"/>
          <w:szCs w:val="24"/>
        </w:rPr>
        <w:t>Luật Công an nhân dân năm 2014</w:t>
      </w:r>
      <w:r>
        <w:rPr>
          <w:rFonts w:eastAsia="Times New Roman" w:cs="Times New Roman"/>
          <w:i/>
          <w:iCs/>
          <w:color w:val="000000"/>
          <w:sz w:val="24"/>
          <w:szCs w:val="24"/>
        </w:rPr>
        <w:t>.</w:t>
      </w:r>
    </w:p>
    <w:p w14:paraId="7AFD4DBA">
      <w:pPr>
        <w:numPr>
          <w:ilvl w:val="0"/>
          <w:numId w:val="1"/>
        </w:numPr>
        <w:tabs>
          <w:tab w:val="left" w:pos="1260"/>
        </w:tabs>
        <w:spacing w:before="60" w:after="60" w:line="400" w:lineRule="exact"/>
        <w:ind w:left="0" w:firstLine="902"/>
        <w:jc w:val="both"/>
        <w:rPr>
          <w:rFonts w:eastAsia="Times New Roman" w:cs="Times New Roman"/>
          <w:i/>
          <w:iCs/>
          <w:color w:val="000000"/>
          <w:sz w:val="24"/>
          <w:szCs w:val="24"/>
        </w:rPr>
      </w:pPr>
      <w:r>
        <w:rPr>
          <w:rFonts w:eastAsia="Times New Roman" w:cs="Times New Roman"/>
          <w:bCs/>
          <w:iCs/>
          <w:sz w:val="24"/>
          <w:szCs w:val="24"/>
        </w:rPr>
        <w:t xml:space="preserve">Quốc hội, </w:t>
      </w:r>
      <w:r>
        <w:rPr>
          <w:rFonts w:eastAsia="Times New Roman" w:cs="Times New Roman"/>
          <w:i/>
          <w:iCs/>
          <w:color w:val="000000"/>
          <w:sz w:val="24"/>
          <w:szCs w:val="24"/>
        </w:rPr>
        <w:t xml:space="preserve">Luật Tổ chức Cơ quan điều tra hình sự năm 2015.  </w:t>
      </w:r>
      <w:r>
        <w:rPr>
          <w:rFonts w:eastAsia="Times New Roman" w:cs="Times New Roman"/>
          <w:bCs/>
          <w:i/>
          <w:iCs/>
          <w:color w:val="000000"/>
          <w:sz w:val="24"/>
          <w:szCs w:val="24"/>
        </w:rPr>
        <w:t xml:space="preserve">  </w:t>
      </w:r>
    </w:p>
    <w:p w14:paraId="35648CDC">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03510"/>
    <w:multiLevelType w:val="multilevel"/>
    <w:tmpl w:val="49A03510"/>
    <w:lvl w:ilvl="0" w:tentative="0">
      <w:start w:val="1"/>
      <w:numFmt w:val="decimal"/>
      <w:lvlText w:val="%1."/>
      <w:lvlJc w:val="left"/>
      <w:pPr>
        <w:ind w:left="1080" w:hanging="360"/>
      </w:pPr>
      <w:rPr>
        <w:rFonts w:hint="default"/>
        <w:b w:val="0"/>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CD53FDA"/>
    <w:rsid w:val="0F96572F"/>
    <w:rsid w:val="16F60ABB"/>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2026-07-02T13:41:12Z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